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EC1EE">
      <w:pPr>
        <w:spacing w:after="0" w:line="360" w:lineRule="auto"/>
        <w:jc w:val="center"/>
        <w:rPr>
          <w:rFonts w:hint="default" w:ascii="楷体" w:hAnsi="楷体" w:eastAsia="楷体" w:cs="楷体"/>
          <w:b/>
          <w:bCs/>
          <w:sz w:val="36"/>
          <w:szCs w:val="36"/>
          <w:highlight w:val="none"/>
          <w:lang w:val="en-US" w:eastAsia="zh-CN"/>
        </w:rPr>
      </w:pPr>
      <w:r>
        <w:rPr>
          <w:rFonts w:hint="eastAsia" w:ascii="楷体" w:hAnsi="楷体" w:eastAsia="楷体" w:cs="楷体"/>
          <w:b/>
          <w:bCs/>
          <w:sz w:val="36"/>
          <w:szCs w:val="36"/>
          <w:highlight w:val="none"/>
          <w:lang w:val="en-US" w:eastAsia="zh-CN"/>
        </w:rPr>
        <w:t>2025年“为民办实事”新建农村公厕项目三标段</w:t>
      </w:r>
      <w:bookmarkStart w:id="0" w:name="_GoBack"/>
      <w:bookmarkEnd w:id="0"/>
    </w:p>
    <w:p w14:paraId="056B4993">
      <w:pPr>
        <w:spacing w:after="0" w:line="360" w:lineRule="auto"/>
        <w:jc w:val="center"/>
        <w:rPr>
          <w:rFonts w:ascii="楷体" w:hAnsi="楷体" w:eastAsia="楷体" w:cs="楷体"/>
          <w:b/>
          <w:bCs/>
          <w:sz w:val="24"/>
          <w:szCs w:val="24"/>
          <w:highlight w:val="none"/>
          <w:lang w:eastAsia="zh-CN"/>
        </w:rPr>
      </w:pPr>
      <w:r>
        <w:rPr>
          <w:rFonts w:hint="eastAsia" w:ascii="楷体" w:hAnsi="楷体" w:eastAsia="楷体" w:cs="楷体"/>
          <w:b/>
          <w:bCs/>
          <w:sz w:val="36"/>
          <w:szCs w:val="36"/>
          <w:highlight w:val="none"/>
          <w:lang w:eastAsia="zh-CN"/>
        </w:rPr>
        <w:t>工程量清单及招标控制价编制说明</w:t>
      </w:r>
    </w:p>
    <w:p w14:paraId="449FCC24">
      <w:pPr>
        <w:spacing w:after="0" w:line="360" w:lineRule="auto"/>
        <w:rPr>
          <w:rFonts w:ascii="楷体" w:hAnsi="楷体" w:eastAsia="楷体" w:cs="楷体"/>
          <w:b/>
          <w:sz w:val="24"/>
          <w:szCs w:val="24"/>
          <w:highlight w:val="none"/>
          <w:lang w:eastAsia="zh-CN"/>
        </w:rPr>
      </w:pPr>
      <w:r>
        <w:rPr>
          <w:rFonts w:hint="eastAsia" w:ascii="楷体" w:hAnsi="楷体" w:eastAsia="楷体" w:cs="楷体"/>
          <w:b/>
          <w:bCs/>
          <w:sz w:val="24"/>
          <w:szCs w:val="24"/>
          <w:highlight w:val="none"/>
          <w:lang w:eastAsia="zh-CN"/>
        </w:rPr>
        <w:t>一、编制依据</w:t>
      </w:r>
    </w:p>
    <w:p w14:paraId="62AAE1D0">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1、委托方提供的设计施工图纸、招标文件、编制要求、标底答疑、设计图纸问题回复、会议纪要等。</w:t>
      </w:r>
    </w:p>
    <w:p w14:paraId="50D89048">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2、《建设工程工程量清单计价规范》GB50500-2013、《房屋建筑与装饰工程工程量计算规则》(GB50854-2013)、《通用安装工程工程量计算规范》（GB50856-2013）、《市政工程工程量计算规则》(GB50857-2013)、《园林绿化工程工程量计算规范》(GB50858-2013)、《江苏省建筑与装饰工程计价定额》（2014年）、《江苏省安装工程计价定额》（2014年）、《江苏省市政工程计价定额》（2014 年）、《江苏省仿古建筑与园林工程计价表》（2007江苏省园林定额）、《江苏省建设工程费用定额》（2014年）</w:t>
      </w:r>
    </w:p>
    <w:p w14:paraId="4BB3900A">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3、相关费率：措施项目、规费、税金按《省住房城乡建设厅关于建筑业实施营改增后江苏省建设工程计价依据调整的通知》（常建（2016）94号）、常建（2014）279号文、苏建价（2014）448号文、苏建价函（2019）178号文、常建（2019）1号</w:t>
      </w:r>
      <w:r>
        <w:rPr>
          <w:rFonts w:hint="eastAsia" w:ascii="楷体" w:hAnsi="楷体" w:eastAsia="楷体" w:cs="楷体"/>
          <w:sz w:val="24"/>
          <w:szCs w:val="24"/>
          <w:highlight w:val="none"/>
          <w:lang w:val="en-US" w:eastAsia="zh-CN"/>
        </w:rPr>
        <w:t>文</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省住建厅（2019）第19号</w:t>
      </w:r>
      <w:r>
        <w:rPr>
          <w:rFonts w:hint="eastAsia" w:ascii="楷体" w:hAnsi="楷体" w:eastAsia="楷体" w:cs="楷体"/>
          <w:sz w:val="24"/>
          <w:szCs w:val="24"/>
          <w:highlight w:val="none"/>
          <w:lang w:eastAsia="zh-CN"/>
        </w:rPr>
        <w:t>文等</w:t>
      </w:r>
      <w:r>
        <w:rPr>
          <w:rFonts w:hint="eastAsia" w:ascii="楷体" w:hAnsi="楷体" w:eastAsia="楷体" w:cs="楷体"/>
          <w:sz w:val="24"/>
          <w:szCs w:val="24"/>
          <w:highlight w:val="none"/>
          <w:lang w:val="en-US" w:eastAsia="zh-CN"/>
        </w:rPr>
        <w:t>相关计价文件和规定</w:t>
      </w:r>
      <w:r>
        <w:rPr>
          <w:rFonts w:hint="eastAsia" w:ascii="楷体" w:hAnsi="楷体" w:eastAsia="楷体" w:cs="楷体"/>
          <w:sz w:val="24"/>
          <w:szCs w:val="24"/>
          <w:highlight w:val="none"/>
          <w:lang w:eastAsia="zh-CN"/>
        </w:rPr>
        <w:t>。</w:t>
      </w:r>
    </w:p>
    <w:p w14:paraId="72E0DE89">
      <w:pPr>
        <w:spacing w:after="0" w:line="360" w:lineRule="auto"/>
        <w:rPr>
          <w:rFonts w:hint="eastAsia" w:ascii="楷体" w:hAnsi="楷体" w:eastAsia="楷体" w:cs="楷体"/>
          <w:sz w:val="24"/>
          <w:szCs w:val="24"/>
          <w:highlight w:val="none"/>
          <w:lang w:eastAsia="zh-CN"/>
        </w:rPr>
      </w:pPr>
      <w:r>
        <w:rPr>
          <w:rFonts w:hint="eastAsia" w:ascii="楷体" w:hAnsi="楷体" w:eastAsia="楷体" w:cs="楷体"/>
          <w:b/>
          <w:bCs/>
          <w:sz w:val="24"/>
          <w:szCs w:val="24"/>
          <w:highlight w:val="none"/>
          <w:lang w:val="en-US" w:eastAsia="zh-CN"/>
        </w:rPr>
        <w:t>二</w:t>
      </w:r>
      <w:r>
        <w:rPr>
          <w:rFonts w:hint="eastAsia" w:ascii="楷体" w:hAnsi="楷体" w:eastAsia="楷体" w:cs="楷体"/>
          <w:b/>
          <w:bCs/>
          <w:sz w:val="24"/>
          <w:szCs w:val="24"/>
          <w:highlight w:val="none"/>
          <w:lang w:eastAsia="zh-CN"/>
        </w:rPr>
        <w:t>、编制</w:t>
      </w:r>
      <w:r>
        <w:rPr>
          <w:rFonts w:hint="eastAsia" w:ascii="楷体" w:hAnsi="楷体" w:eastAsia="楷体" w:cs="楷体"/>
          <w:b/>
          <w:bCs/>
          <w:sz w:val="24"/>
          <w:szCs w:val="24"/>
          <w:highlight w:val="none"/>
          <w:lang w:val="en-US" w:eastAsia="zh-CN"/>
        </w:rPr>
        <w:t>说明</w:t>
      </w:r>
    </w:p>
    <w:p w14:paraId="5E4C4482">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lang w:eastAsia="zh-CN"/>
        </w:rPr>
        <w:t>、人工工资单价按苏建函价</w:t>
      </w:r>
      <w:r>
        <w:rPr>
          <w:rFonts w:hint="eastAsia" w:ascii="楷体" w:hAnsi="楷体" w:eastAsia="楷体" w:cs="楷体"/>
          <w:bCs/>
          <w:sz w:val="24"/>
          <w:szCs w:val="24"/>
          <w:highlight w:val="none"/>
          <w:lang w:eastAsia="zh-CN"/>
        </w:rPr>
        <w:t>〔202</w:t>
      </w:r>
      <w:r>
        <w:rPr>
          <w:rFonts w:hint="eastAsia" w:ascii="楷体" w:hAnsi="楷体" w:eastAsia="楷体" w:cs="楷体"/>
          <w:bCs/>
          <w:sz w:val="24"/>
          <w:szCs w:val="24"/>
          <w:highlight w:val="none"/>
          <w:lang w:val="en-US" w:eastAsia="zh-CN"/>
        </w:rPr>
        <w:t>5</w:t>
      </w:r>
      <w:r>
        <w:rPr>
          <w:rFonts w:hint="eastAsia" w:ascii="楷体" w:hAnsi="楷体" w:eastAsia="楷体" w:cs="楷体"/>
          <w:bCs/>
          <w:sz w:val="24"/>
          <w:szCs w:val="24"/>
          <w:highlight w:val="none"/>
          <w:lang w:eastAsia="zh-CN"/>
        </w:rPr>
        <w:t>〕</w:t>
      </w:r>
      <w:r>
        <w:rPr>
          <w:rFonts w:hint="eastAsia" w:ascii="楷体" w:hAnsi="楷体" w:eastAsia="楷体" w:cs="楷体"/>
          <w:bCs/>
          <w:sz w:val="24"/>
          <w:szCs w:val="24"/>
          <w:highlight w:val="none"/>
          <w:lang w:val="en-US" w:eastAsia="zh-CN"/>
        </w:rPr>
        <w:t>273</w:t>
      </w:r>
      <w:r>
        <w:rPr>
          <w:rFonts w:hint="eastAsia" w:ascii="楷体" w:hAnsi="楷体" w:eastAsia="楷体" w:cs="楷体"/>
          <w:sz w:val="24"/>
          <w:szCs w:val="24"/>
          <w:highlight w:val="none"/>
          <w:lang w:eastAsia="zh-CN"/>
        </w:rPr>
        <w:t>号文《江苏省住房和城乡建设厅关于发布建设工工程人工工资指导价的通知》执行。</w:t>
      </w:r>
    </w:p>
    <w:p w14:paraId="43474A6F">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lang w:eastAsia="zh-CN"/>
        </w:rPr>
        <w:t>、材料价格按照《常州工程造价信息》202</w:t>
      </w:r>
      <w:r>
        <w:rPr>
          <w:rFonts w:hint="eastAsia" w:ascii="楷体" w:hAnsi="楷体" w:eastAsia="楷体" w:cs="楷体"/>
          <w:sz w:val="24"/>
          <w:szCs w:val="24"/>
          <w:highlight w:val="none"/>
          <w:lang w:val="en-US" w:eastAsia="zh-CN"/>
        </w:rPr>
        <w:t>5</w:t>
      </w:r>
      <w:r>
        <w:rPr>
          <w:rFonts w:hint="eastAsia" w:ascii="楷体" w:hAnsi="楷体" w:eastAsia="楷体" w:cs="楷体"/>
          <w:sz w:val="24"/>
          <w:szCs w:val="24"/>
          <w:highlight w:val="none"/>
          <w:lang w:eastAsia="zh-CN"/>
        </w:rPr>
        <w:t>年</w:t>
      </w:r>
      <w:r>
        <w:rPr>
          <w:rFonts w:hint="eastAsia" w:ascii="楷体" w:hAnsi="楷体" w:eastAsia="楷体" w:cs="楷体"/>
          <w:sz w:val="24"/>
          <w:szCs w:val="24"/>
          <w:highlight w:val="none"/>
          <w:lang w:val="en-US" w:eastAsia="zh-CN"/>
        </w:rPr>
        <w:t>8</w:t>
      </w:r>
      <w:r>
        <w:rPr>
          <w:rFonts w:hint="eastAsia" w:ascii="楷体" w:hAnsi="楷体" w:eastAsia="楷体" w:cs="楷体"/>
          <w:sz w:val="24"/>
          <w:szCs w:val="24"/>
          <w:highlight w:val="none"/>
          <w:lang w:eastAsia="zh-CN"/>
        </w:rPr>
        <w:t>月除税价格计入，本月份没有的逐月前推，信息价没有的材料价格按市场询价计入。</w:t>
      </w:r>
    </w:p>
    <w:p w14:paraId="17CA06FF">
      <w:pPr>
        <w:spacing w:after="0" w:line="360" w:lineRule="auto"/>
        <w:ind w:firstLine="480" w:firstLineChars="200"/>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3、机械费用依据江苏省2014年台班单价和</w:t>
      </w:r>
      <w:r>
        <w:rPr>
          <w:rFonts w:hint="eastAsia" w:ascii="楷体" w:hAnsi="楷体" w:eastAsia="楷体" w:cs="楷体"/>
          <w:sz w:val="24"/>
          <w:szCs w:val="24"/>
          <w:highlight w:val="none"/>
          <w:lang w:eastAsia="zh-CN"/>
        </w:rPr>
        <w:t>苏建价〔2016〕154号文</w:t>
      </w:r>
      <w:r>
        <w:rPr>
          <w:rFonts w:hint="eastAsia" w:ascii="楷体" w:hAnsi="楷体" w:eastAsia="楷体" w:cs="楷体"/>
          <w:sz w:val="24"/>
          <w:szCs w:val="24"/>
          <w:highlight w:val="none"/>
          <w:lang w:val="en-US" w:eastAsia="zh-CN"/>
        </w:rPr>
        <w:t>规定计取，其中水、电、油料、机械人工调差。</w:t>
      </w:r>
    </w:p>
    <w:p w14:paraId="0057B432">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lang w:eastAsia="zh-CN"/>
        </w:rPr>
        <w:t>、工程类别：见各单位工程</w:t>
      </w:r>
    </w:p>
    <w:p w14:paraId="002FF7CE">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5</w:t>
      </w:r>
      <w:r>
        <w:rPr>
          <w:rFonts w:hint="eastAsia" w:ascii="楷体" w:hAnsi="楷体" w:eastAsia="楷体" w:cs="楷体"/>
          <w:sz w:val="24"/>
          <w:szCs w:val="24"/>
          <w:highlight w:val="none"/>
          <w:lang w:eastAsia="zh-CN"/>
        </w:rPr>
        <w:t>、本清单根据营改增后的编制规范，计税方式采用增值税一般计税模式编制。</w:t>
      </w:r>
    </w:p>
    <w:p w14:paraId="62448762">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6</w:t>
      </w:r>
      <w:r>
        <w:rPr>
          <w:rFonts w:hint="eastAsia" w:ascii="楷体" w:hAnsi="楷体" w:eastAsia="楷体" w:cs="楷体"/>
          <w:sz w:val="24"/>
          <w:szCs w:val="24"/>
          <w:highlight w:val="none"/>
          <w:lang w:eastAsia="zh-CN"/>
        </w:rPr>
        <w:t>、暂列金额、材料暂估价、专业工程暂估价等详见工程量清单。</w:t>
      </w:r>
    </w:p>
    <w:p w14:paraId="135AF399">
      <w:pPr>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7、安全文明施工措施费，计取基本费、扬尘污染防治增加费，竣工结算时按合同约定调整。</w:t>
      </w:r>
    </w:p>
    <w:p w14:paraId="3AE624F1">
      <w:pPr>
        <w:spacing w:after="0" w:line="360" w:lineRule="auto"/>
        <w:rPr>
          <w:rFonts w:hint="default"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eastAsia="zh-CN"/>
        </w:rPr>
        <w:t>三、计价说明</w:t>
      </w:r>
    </w:p>
    <w:p w14:paraId="09AB9233">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1、挖沟槽、基坑、一般土方因工作面和放坡增加的工程量并入土方工程量中，放坡系数和工作面宽度按13规范执行，如承包人施工组织设计中的放坡系数和工作面宽度与规范不同时，在土方综合单价中</w:t>
      </w:r>
      <w:r>
        <w:rPr>
          <w:rFonts w:hint="eastAsia" w:ascii="楷体" w:hAnsi="楷体" w:eastAsia="楷体" w:cs="楷体"/>
          <w:sz w:val="24"/>
          <w:szCs w:val="24"/>
          <w:highlight w:val="none"/>
          <w:lang w:val="en-US" w:eastAsia="zh-CN"/>
        </w:rPr>
        <w:t>综合</w:t>
      </w:r>
      <w:r>
        <w:rPr>
          <w:rFonts w:hint="eastAsia" w:ascii="楷体" w:hAnsi="楷体" w:eastAsia="楷体" w:cs="楷体"/>
          <w:sz w:val="24"/>
          <w:szCs w:val="24"/>
          <w:highlight w:val="none"/>
          <w:lang w:eastAsia="zh-CN"/>
        </w:rPr>
        <w:t>考虑。</w:t>
      </w:r>
    </w:p>
    <w:p w14:paraId="263B4F51">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lang w:eastAsia="zh-CN"/>
        </w:rPr>
        <w:t>本工程土方除淤泥质土等非适用土外，均需考虑平衡利用。土方、材料的平衡原则（所有填方或灰土体积按竣工压实体积考虑；所有挖方、拆除物按原始体积考虑；所有构筑物按实际占用体积考虑；不考虑挖土与填土在体积上的变化；不考虑灰土含灰量引起的体积变化；不考虑填土密实度和取土密实度的差异。所有缺土或灰土土方按上述原则平衡）。各投标单位务必在单价中考虑道路挖土、槽坑挖填，取土与回填，灰土含灰、土方或路基结构层密实度等因素，充分考虑挖土与填土的单价及风险。</w:t>
      </w:r>
    </w:p>
    <w:p w14:paraId="75C85DA4">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lang w:eastAsia="zh-CN"/>
        </w:rPr>
        <w:t>回填方的报价投标人应根据现场实际情况、地质勘探资料、招标人要求、考虑回填土场内运输归堆等所有因素后自行报价。</w:t>
      </w:r>
    </w:p>
    <w:p w14:paraId="001A3272">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lang w:eastAsia="zh-CN"/>
        </w:rPr>
        <w:t>、土方（建筑垃圾）、处理费（弃置费）、场地费由投标人缴纳，该费用应含在相应的综合单价内；土方运输所使用的渣土车必须符合工程所在地行政主管部门的要求，同时按照相关规定缴纳渣土消纳费等费用，该费用由施工单位承担，并在投标报价时综合考虑在相应的清单报价中，结算时不得因其他因素调整。</w:t>
      </w:r>
    </w:p>
    <w:p w14:paraId="0987FA3C">
      <w:pPr>
        <w:spacing w:after="0" w:line="360" w:lineRule="auto"/>
        <w:ind w:firstLine="480" w:firstLineChars="200"/>
        <w:rPr>
          <w:rFonts w:hint="eastAsia" w:ascii="楷体" w:hAnsi="楷体" w:eastAsia="楷体" w:cs="宋体"/>
          <w:sz w:val="24"/>
          <w:highlight w:val="none"/>
        </w:rPr>
      </w:pPr>
      <w:r>
        <w:rPr>
          <w:rFonts w:hint="eastAsia" w:ascii="楷体" w:hAnsi="楷体" w:eastAsia="楷体" w:cs="楷体"/>
          <w:sz w:val="24"/>
          <w:szCs w:val="24"/>
          <w:highlight w:val="none"/>
          <w:lang w:val="en-US" w:eastAsia="zh-CN"/>
        </w:rPr>
        <w:t>5、</w:t>
      </w:r>
      <w:r>
        <w:rPr>
          <w:rFonts w:hint="eastAsia" w:ascii="楷体" w:hAnsi="楷体" w:eastAsia="楷体" w:cs="宋体"/>
          <w:sz w:val="24"/>
          <w:highlight w:val="none"/>
        </w:rPr>
        <w:t>本工程施工过程必须严格按照《大气污染防治法》、《江苏省大气污染防治条例》、《建筑工地扬尘防治标准》、《常州市建筑施工扬尘控制实施细则》、《关于加强全市建筑领域非道路移动工程机械污染防治工作的通知》等要求，投标单位在投标报价中充分考虑各项防治措施费用，结算时该费用不作调整。因环保及大气管控要求导致的土方临时周转或弃运间断进行所增加的费</w:t>
      </w:r>
      <w:r>
        <w:rPr>
          <w:rFonts w:hint="eastAsia" w:ascii="楷体" w:hAnsi="楷体" w:eastAsia="楷体" w:cs="宋体"/>
          <w:sz w:val="24"/>
          <w:highlight w:val="none"/>
          <w:lang w:val="en-US" w:eastAsia="zh-CN"/>
        </w:rPr>
        <w:t>用</w:t>
      </w:r>
      <w:r>
        <w:rPr>
          <w:rFonts w:hint="eastAsia" w:ascii="楷体" w:hAnsi="楷体" w:eastAsia="楷体" w:cs="宋体"/>
          <w:sz w:val="24"/>
          <w:highlight w:val="none"/>
        </w:rPr>
        <w:t>投标人自行考虑。</w:t>
      </w:r>
    </w:p>
    <w:p w14:paraId="533472AA">
      <w:pPr>
        <w:spacing w:after="0" w:line="360" w:lineRule="auto"/>
        <w:ind w:firstLine="480" w:firstLineChars="200"/>
        <w:rPr>
          <w:rFonts w:hint="eastAsia" w:ascii="楷体" w:hAnsi="楷体" w:eastAsia="楷体" w:cs="宋体"/>
          <w:sz w:val="24"/>
          <w:highlight w:val="none"/>
          <w:lang w:val="en-US" w:eastAsia="zh-CN"/>
        </w:rPr>
      </w:pPr>
      <w:r>
        <w:rPr>
          <w:rFonts w:hint="eastAsia" w:ascii="楷体" w:hAnsi="楷体" w:eastAsia="楷体" w:cs="宋体"/>
          <w:sz w:val="24"/>
          <w:highlight w:val="none"/>
          <w:lang w:val="en-US" w:eastAsia="zh-CN"/>
        </w:rPr>
        <w:t>6、</w:t>
      </w:r>
      <w:r>
        <w:rPr>
          <w:rFonts w:hint="eastAsia" w:ascii="楷体" w:hAnsi="楷体" w:eastAsia="楷体" w:cs="楷体"/>
          <w:bCs/>
          <w:sz w:val="24"/>
          <w:szCs w:val="24"/>
          <w:highlight w:val="none"/>
          <w:lang w:eastAsia="zh-CN"/>
        </w:rPr>
        <w:t>本</w:t>
      </w:r>
      <w:r>
        <w:rPr>
          <w:rFonts w:hint="eastAsia" w:ascii="楷体" w:hAnsi="楷体" w:eastAsia="楷体" w:cs="楷体"/>
          <w:bCs/>
          <w:sz w:val="24"/>
          <w:szCs w:val="24"/>
          <w:highlight w:val="none"/>
          <w:lang w:val="en-US" w:eastAsia="zh-CN"/>
        </w:rPr>
        <w:t>工程所用砼均为预拌</w:t>
      </w:r>
      <w:r>
        <w:rPr>
          <w:rFonts w:hint="eastAsia" w:ascii="楷体" w:hAnsi="楷体" w:eastAsia="楷体" w:cs="楷体"/>
          <w:bCs/>
          <w:sz w:val="24"/>
          <w:szCs w:val="24"/>
          <w:highlight w:val="none"/>
          <w:lang w:eastAsia="zh-CN"/>
        </w:rPr>
        <w:t>商品砼（无论清单项目特征是否注明</w:t>
      </w:r>
      <w:r>
        <w:rPr>
          <w:rFonts w:hint="eastAsia" w:ascii="楷体" w:hAnsi="楷体" w:eastAsia="楷体" w:cs="楷体"/>
          <w:bCs/>
          <w:sz w:val="24"/>
          <w:szCs w:val="24"/>
          <w:highlight w:val="none"/>
          <w:lang w:val="en-US" w:eastAsia="zh-CN"/>
        </w:rPr>
        <w:t>砼</w:t>
      </w:r>
      <w:r>
        <w:rPr>
          <w:rFonts w:hint="eastAsia" w:ascii="楷体" w:hAnsi="楷体" w:eastAsia="楷体" w:cs="楷体"/>
          <w:bCs/>
          <w:sz w:val="24"/>
          <w:szCs w:val="24"/>
          <w:highlight w:val="none"/>
          <w:lang w:eastAsia="zh-CN"/>
        </w:rPr>
        <w:t>拌和方式），投标人应按此要求报价，并含在相应的投标综合单价内。预拌商品砼输送方式</w:t>
      </w:r>
      <w:r>
        <w:rPr>
          <w:rFonts w:hint="eastAsia" w:ascii="楷体" w:hAnsi="楷体" w:eastAsia="楷体" w:cs="楷体"/>
          <w:bCs/>
          <w:sz w:val="24"/>
          <w:szCs w:val="24"/>
          <w:highlight w:val="none"/>
          <w:lang w:val="en-US" w:eastAsia="zh-CN"/>
        </w:rPr>
        <w:t>及泵送台班超高费用由投标人自行考虑，并含在相应的投标</w:t>
      </w:r>
      <w:r>
        <w:rPr>
          <w:rFonts w:hint="eastAsia" w:ascii="楷体" w:hAnsi="楷体" w:eastAsia="楷体" w:cs="楷体"/>
          <w:bCs/>
          <w:sz w:val="24"/>
          <w:szCs w:val="24"/>
          <w:highlight w:val="none"/>
          <w:lang w:eastAsia="zh-CN"/>
        </w:rPr>
        <w:t>综合单价</w:t>
      </w:r>
      <w:r>
        <w:rPr>
          <w:rFonts w:hint="eastAsia" w:ascii="楷体" w:hAnsi="楷体" w:eastAsia="楷体" w:cs="楷体"/>
          <w:bCs/>
          <w:sz w:val="24"/>
          <w:szCs w:val="24"/>
          <w:highlight w:val="none"/>
          <w:lang w:val="en-US" w:eastAsia="zh-CN"/>
        </w:rPr>
        <w:t>内</w:t>
      </w:r>
      <w:r>
        <w:rPr>
          <w:rFonts w:hint="eastAsia" w:ascii="楷体" w:hAnsi="楷体" w:eastAsia="楷体" w:cs="楷体"/>
          <w:bCs/>
          <w:sz w:val="24"/>
          <w:szCs w:val="24"/>
          <w:highlight w:val="none"/>
          <w:lang w:eastAsia="zh-CN"/>
        </w:rPr>
        <w:t>。</w:t>
      </w:r>
    </w:p>
    <w:p w14:paraId="66FB0ED4">
      <w:pPr>
        <w:spacing w:after="0" w:line="360" w:lineRule="auto"/>
        <w:ind w:firstLine="480" w:firstLineChars="200"/>
        <w:rPr>
          <w:rFonts w:hint="eastAsia" w:ascii="楷体" w:hAnsi="楷体" w:eastAsia="楷体" w:cs="楷体"/>
          <w:bCs/>
          <w:sz w:val="24"/>
          <w:szCs w:val="24"/>
          <w:highlight w:val="none"/>
          <w:lang w:eastAsia="zh-CN"/>
        </w:rPr>
      </w:pPr>
      <w:r>
        <w:rPr>
          <w:rFonts w:hint="eastAsia" w:ascii="楷体" w:hAnsi="楷体" w:eastAsia="楷体" w:cs="宋体"/>
          <w:sz w:val="24"/>
          <w:highlight w:val="none"/>
          <w:lang w:val="en-US" w:eastAsia="zh-CN"/>
        </w:rPr>
        <w:t>7、</w:t>
      </w:r>
      <w:r>
        <w:rPr>
          <w:rFonts w:hint="eastAsia" w:ascii="楷体" w:hAnsi="楷体" w:eastAsia="楷体" w:cs="楷体"/>
          <w:bCs/>
          <w:sz w:val="24"/>
          <w:szCs w:val="24"/>
          <w:highlight w:val="none"/>
          <w:lang w:eastAsia="zh-CN"/>
        </w:rPr>
        <w:t>本</w:t>
      </w:r>
      <w:r>
        <w:rPr>
          <w:rFonts w:hint="eastAsia" w:ascii="楷体" w:hAnsi="楷体" w:eastAsia="楷体" w:cs="楷体"/>
          <w:bCs/>
          <w:sz w:val="24"/>
          <w:szCs w:val="24"/>
          <w:highlight w:val="none"/>
          <w:lang w:val="en-US" w:eastAsia="zh-CN"/>
        </w:rPr>
        <w:t>工程所用</w:t>
      </w:r>
      <w:r>
        <w:rPr>
          <w:rFonts w:hint="eastAsia" w:ascii="楷体" w:hAnsi="楷体" w:eastAsia="楷体" w:cs="楷体"/>
          <w:bCs/>
          <w:sz w:val="24"/>
          <w:szCs w:val="24"/>
          <w:highlight w:val="none"/>
          <w:lang w:eastAsia="zh-CN"/>
        </w:rPr>
        <w:t>砂浆均</w:t>
      </w:r>
      <w:r>
        <w:rPr>
          <w:rFonts w:hint="eastAsia" w:ascii="楷体" w:hAnsi="楷体" w:eastAsia="楷体" w:cs="楷体"/>
          <w:bCs/>
          <w:sz w:val="24"/>
          <w:szCs w:val="24"/>
          <w:highlight w:val="none"/>
          <w:lang w:val="en-US" w:eastAsia="zh-CN"/>
        </w:rPr>
        <w:t>为</w:t>
      </w:r>
      <w:r>
        <w:rPr>
          <w:rFonts w:hint="eastAsia" w:ascii="楷体" w:hAnsi="楷体" w:eastAsia="楷体" w:cs="楷体"/>
          <w:bCs/>
          <w:sz w:val="24"/>
          <w:szCs w:val="24"/>
          <w:highlight w:val="none"/>
          <w:lang w:eastAsia="zh-CN"/>
        </w:rPr>
        <w:t>预拌砂浆（无论清单项目特征是否注明</w:t>
      </w:r>
      <w:r>
        <w:rPr>
          <w:rFonts w:hint="eastAsia" w:ascii="楷体" w:hAnsi="楷体" w:eastAsia="楷体" w:cs="楷体"/>
          <w:bCs/>
          <w:sz w:val="24"/>
          <w:szCs w:val="24"/>
          <w:highlight w:val="none"/>
          <w:lang w:val="en-US" w:eastAsia="zh-CN"/>
        </w:rPr>
        <w:t>砂浆</w:t>
      </w:r>
      <w:r>
        <w:rPr>
          <w:rFonts w:hint="eastAsia" w:ascii="楷体" w:hAnsi="楷体" w:eastAsia="楷体" w:cs="楷体"/>
          <w:bCs/>
          <w:sz w:val="24"/>
          <w:szCs w:val="24"/>
          <w:highlight w:val="none"/>
          <w:lang w:eastAsia="zh-CN"/>
        </w:rPr>
        <w:t>拌和方式），投标人应按此要求报价，并含在相应的投标综合单价内。</w:t>
      </w:r>
    </w:p>
    <w:p w14:paraId="7C18E3A2">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8</w:t>
      </w:r>
      <w:r>
        <w:rPr>
          <w:rFonts w:hint="eastAsia" w:ascii="楷体" w:hAnsi="楷体" w:eastAsia="楷体" w:cs="楷体"/>
          <w:sz w:val="24"/>
          <w:szCs w:val="24"/>
          <w:highlight w:val="none"/>
          <w:lang w:eastAsia="zh-CN"/>
        </w:rPr>
        <w:t>、本</w:t>
      </w:r>
      <w:r>
        <w:rPr>
          <w:rFonts w:hint="eastAsia" w:ascii="楷体" w:hAnsi="楷体" w:eastAsia="楷体" w:cs="楷体"/>
          <w:sz w:val="24"/>
          <w:szCs w:val="24"/>
          <w:highlight w:val="none"/>
          <w:lang w:val="en-US" w:eastAsia="zh-CN"/>
        </w:rPr>
        <w:t>工程</w:t>
      </w:r>
      <w:r>
        <w:rPr>
          <w:rFonts w:hint="eastAsia" w:ascii="楷体" w:hAnsi="楷体" w:eastAsia="楷体" w:cs="楷体"/>
          <w:sz w:val="24"/>
          <w:szCs w:val="24"/>
          <w:highlight w:val="none"/>
          <w:lang w:eastAsia="zh-CN"/>
        </w:rPr>
        <w:t>所列工程数量是根据图纸或现行情况暂定的，仅作为投标的共同基础，不能作为最终结算与支付的依据。结算与支付应以监理工程师审核并报业主现场代表认可的、按图纸和规范要求实际完成的合格工程数量为依据。工程量清单中所列工程量的变动，丝毫不会降低或影响合同条件的效力，也不免除承包商按规定的标准进行施工和修复缺陷的责任。</w:t>
      </w:r>
    </w:p>
    <w:p w14:paraId="42594DB9">
      <w:pPr>
        <w:spacing w:after="0" w:line="360" w:lineRule="auto"/>
        <w:ind w:firstLine="480" w:firstLineChars="200"/>
        <w:rPr>
          <w:rFonts w:hint="eastAsia" w:ascii="楷体" w:hAnsi="楷体" w:eastAsia="楷体" w:cs="宋体"/>
          <w:sz w:val="24"/>
          <w:highlight w:val="none"/>
          <w:lang w:val="en-US" w:eastAsia="zh-CN"/>
        </w:rPr>
      </w:pPr>
      <w:r>
        <w:rPr>
          <w:rFonts w:hint="eastAsia" w:ascii="楷体" w:hAnsi="楷体" w:eastAsia="楷体" w:cs="楷体"/>
          <w:sz w:val="24"/>
          <w:szCs w:val="24"/>
          <w:highlight w:val="none"/>
          <w:lang w:val="en-US" w:eastAsia="zh-CN"/>
        </w:rPr>
        <w:t>9</w:t>
      </w:r>
      <w:r>
        <w:rPr>
          <w:rFonts w:hint="eastAsia" w:ascii="楷体" w:hAnsi="楷体" w:eastAsia="楷体" w:cs="宋体"/>
          <w:sz w:val="24"/>
          <w:highlight w:val="none"/>
          <w:lang w:val="en-US" w:eastAsia="zh-CN"/>
        </w:rPr>
        <w:t>、扬尘污染防治增加费，按常建[2019]1号文计算。施工过程中必须加强建筑施工扬尘防治工作，严格执行《常州市建筑施工扬尘控制实施细则》和其他扬尘方面的相关规定，在投标报价中应充分考虑扬尘控制措施的相关费用。承包人须根据工地现场情况、扬尘控制的相关要求，制定扬尘防治的实施方案，如裸土覆盖、道路硬化、车辆冲洗平台、喷淋降尘系统、雾炮车、临时绿化等措施,并在施工过程中严格执行扬尘染污、扬尘控制的相关规定，相关费用已在安全文明施工费（含扬尘污染防治增加费）中计列，结算时不另行计算。</w:t>
      </w:r>
    </w:p>
    <w:p w14:paraId="0DA76CFC">
      <w:pPr>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宋体"/>
          <w:sz w:val="24"/>
          <w:highlight w:val="none"/>
          <w:lang w:val="en-US" w:eastAsia="zh-CN"/>
        </w:rPr>
        <w:t>10</w:t>
      </w:r>
      <w:r>
        <w:rPr>
          <w:rFonts w:hint="eastAsia" w:ascii="楷体" w:hAnsi="楷体" w:eastAsia="楷体" w:cs="楷体"/>
          <w:sz w:val="24"/>
          <w:szCs w:val="24"/>
          <w:highlight w:val="none"/>
          <w:lang w:val="en-US" w:eastAsia="zh-CN"/>
        </w:rPr>
        <w:t>、本工程所需水、接电或自行发电等费用由承包人负责，相关费用在投标报价中考虑，施工过程中不另计量。</w:t>
      </w:r>
    </w:p>
    <w:p w14:paraId="60025440">
      <w:pPr>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11、各种铺装面层、饰面材料、构件等的厚度、材质、颜色必须符合设计要求及建设单位要求。异形或弧形部分不单独计量（直线型和弧型综合考虑），其所需增加的费用包含在综合单价内，报价时综合考虑，结算不再另外计算。</w:t>
      </w:r>
    </w:p>
    <w:p w14:paraId="7C114B3E">
      <w:pPr>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12、所有饰面材料（如：墙地砖、木饰面、涂料、铝型材、铝板等）颜色和纹路由业主确认，投标报价时应充分考虑颜色更换导致的价格风险。结算时颜色更改，投标价格不调整。</w:t>
      </w:r>
    </w:p>
    <w:p w14:paraId="23B46085">
      <w:pPr>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13、所有材料的加工费、折边费（如：墙地砖、石材的切割、开孔、磨边、倒角、清角、抽槽、粘结等；铝板及不锈钢折边加工等）， 投标人应考虑在相应的综合单价内，结算时不单独计算。</w:t>
      </w:r>
    </w:p>
    <w:p w14:paraId="468EB4D6">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14</w:t>
      </w:r>
      <w:r>
        <w:rPr>
          <w:rFonts w:hint="eastAsia" w:ascii="楷体" w:hAnsi="楷体" w:eastAsia="楷体" w:cs="楷体"/>
          <w:sz w:val="24"/>
          <w:szCs w:val="24"/>
          <w:highlight w:val="none"/>
          <w:lang w:eastAsia="zh-CN"/>
        </w:rPr>
        <w:t>、投标人需在招标人提供的图纸、技术规格书的基础上进行二次深化设计的，需符合技术要求和相关标准，并必须经甲方书面确认后再施工，相关费用投标人应考虑在相应的综合单价内，结算时不单独计算。</w:t>
      </w:r>
    </w:p>
    <w:p w14:paraId="31439490">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15、室外进线电缆暂未计取，仅预埋配管至建筑外墙1.5m；给水管算至室外水表井（含井及井内阀门）；污水管算至建筑外墙皮1.5m；小便斗按照按压式冲洗阀考虑。</w:t>
      </w:r>
    </w:p>
    <w:p w14:paraId="5AC900A8">
      <w:pPr>
        <w:spacing w:after="0" w:line="360" w:lineRule="auto"/>
        <w:ind w:firstLine="482" w:firstLineChars="200"/>
        <w:rPr>
          <w:rFonts w:ascii="楷体" w:hAnsi="楷体" w:eastAsia="楷体" w:cs="楷体"/>
          <w:b/>
          <w:bCs/>
          <w:sz w:val="24"/>
          <w:szCs w:val="24"/>
          <w:highlight w:val="none"/>
          <w:lang w:eastAsia="zh-CN"/>
        </w:rPr>
      </w:pPr>
      <w:r>
        <w:rPr>
          <w:rFonts w:hint="eastAsia" w:ascii="楷体" w:hAnsi="楷体" w:eastAsia="楷体" w:cs="楷体"/>
          <w:b/>
          <w:bCs/>
          <w:sz w:val="24"/>
          <w:szCs w:val="24"/>
          <w:highlight w:val="none"/>
          <w:lang w:eastAsia="zh-CN"/>
        </w:rPr>
        <w:t>四、其他说明</w:t>
      </w:r>
    </w:p>
    <w:p w14:paraId="76F096A5">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1、本清单所列工程数量是根据图纸或现行情况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114B4033">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lang w:eastAsia="zh-CN"/>
        </w:rPr>
        <w:t>、本工程分部分项单价均为完成本分项全部内容的综合单价，未列出的辅助工作、措施费均不另行计价，均在相关项目综合单价内考虑。</w:t>
      </w:r>
    </w:p>
    <w:p w14:paraId="19D546B5">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lang w:eastAsia="zh-CN"/>
        </w:rPr>
        <w:t>、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不单独计算。</w:t>
      </w:r>
    </w:p>
    <w:p w14:paraId="2AB18FAB">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4</w:t>
      </w:r>
      <w:r>
        <w:rPr>
          <w:rFonts w:hint="eastAsia" w:ascii="楷体" w:hAnsi="楷体" w:eastAsia="楷体" w:cs="宋体"/>
          <w:sz w:val="24"/>
          <w:highlight w:val="none"/>
          <w:lang w:val="en-US" w:eastAsia="zh-CN"/>
        </w:rPr>
        <w:t>、</w:t>
      </w:r>
      <w:r>
        <w:rPr>
          <w:rFonts w:hint="eastAsia" w:ascii="楷体" w:hAnsi="楷体" w:eastAsia="楷体" w:cs="宋体"/>
          <w:sz w:val="24"/>
          <w:highlight w:val="none"/>
        </w:rPr>
        <w:t>投标报价依据招标文件中分部分项工程量清单项目的特征描述和施工图纸及相关计价规定计算，当工程量清单项目特征描述不全时以施工图纸和设计说明及相关规范为准，当工程量清单项目特征描述与施工图纸不一致时以标准要求高的为准。各清单项目仅列出了主要工作内容，除另有规定和说明外，应视为已经包含完成该项目所列或未列的全部工作内容。</w:t>
      </w:r>
    </w:p>
    <w:p w14:paraId="1C1CC93A">
      <w:pPr>
        <w:spacing w:after="0" w:line="360" w:lineRule="auto"/>
        <w:ind w:firstLine="480" w:firstLineChars="20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5</w:t>
      </w:r>
      <w:r>
        <w:rPr>
          <w:rFonts w:hint="eastAsia" w:ascii="楷体" w:hAnsi="楷体" w:eastAsia="楷体" w:cs="楷体"/>
          <w:sz w:val="24"/>
          <w:szCs w:val="24"/>
          <w:highlight w:val="none"/>
          <w:lang w:eastAsia="zh-CN"/>
        </w:rPr>
        <w:t>、投标单位自行踏勘现场，投标报价综合考虑临时设施用地，若发生租赁、租地等费用，施工过程中不得以任何形式进行索赔，结算时不另行增加此项费用。</w:t>
      </w:r>
    </w:p>
    <w:p w14:paraId="1172B6C1">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宋体"/>
          <w:sz w:val="24"/>
          <w:highlight w:val="none"/>
          <w:lang w:val="en-US" w:eastAsia="zh-CN"/>
        </w:rPr>
        <w:t>6、</w:t>
      </w:r>
      <w:r>
        <w:rPr>
          <w:rFonts w:hint="eastAsia" w:ascii="楷体" w:hAnsi="楷体" w:eastAsia="楷体" w:cs="宋体"/>
          <w:sz w:val="24"/>
          <w:highlight w:val="none"/>
        </w:rPr>
        <w:t>投标人应自行认真勘察现场，根据工程实际与施工组织设计可对清单已列措施项目进行增补</w:t>
      </w:r>
      <w:r>
        <w:rPr>
          <w:rFonts w:hint="eastAsia" w:ascii="楷体" w:hAnsi="楷体" w:eastAsia="楷体" w:cs="宋体"/>
          <w:sz w:val="24"/>
          <w:highlight w:val="none"/>
          <w:lang w:eastAsia="zh-CN"/>
        </w:rPr>
        <w:t>（</w:t>
      </w:r>
      <w:r>
        <w:rPr>
          <w:rFonts w:hint="eastAsia" w:ascii="楷体" w:hAnsi="楷体" w:eastAsia="楷体" w:cs="宋体"/>
          <w:sz w:val="24"/>
          <w:highlight w:val="none"/>
          <w:lang w:val="en-US" w:eastAsia="zh-CN"/>
        </w:rPr>
        <w:t>或平衡报价</w:t>
      </w:r>
      <w:r>
        <w:rPr>
          <w:rFonts w:hint="eastAsia" w:ascii="楷体" w:hAnsi="楷体" w:eastAsia="楷体" w:cs="宋体"/>
          <w:sz w:val="24"/>
          <w:highlight w:val="none"/>
          <w:lang w:eastAsia="zh-CN"/>
        </w:rPr>
        <w:t>）</w:t>
      </w:r>
      <w:r>
        <w:rPr>
          <w:rFonts w:hint="eastAsia" w:ascii="楷体" w:hAnsi="楷体" w:eastAsia="楷体" w:cs="宋体"/>
          <w:sz w:val="24"/>
          <w:highlight w:val="none"/>
        </w:rPr>
        <w:t>。结算时，除工程变更引起的施工方案改变外，不得以措施项目清单</w:t>
      </w:r>
      <w:r>
        <w:rPr>
          <w:rFonts w:hint="eastAsia" w:ascii="楷体" w:hAnsi="楷体" w:eastAsia="楷体" w:cs="宋体"/>
          <w:sz w:val="24"/>
          <w:highlight w:val="none"/>
          <w:lang w:val="en-US" w:eastAsia="zh-CN"/>
        </w:rPr>
        <w:t>错项、</w:t>
      </w:r>
      <w:r>
        <w:rPr>
          <w:rFonts w:hint="eastAsia" w:ascii="楷体" w:hAnsi="楷体" w:eastAsia="楷体" w:cs="宋体"/>
          <w:sz w:val="24"/>
          <w:highlight w:val="none"/>
        </w:rPr>
        <w:t>漏项为由要求新增措施项目</w:t>
      </w:r>
      <w:r>
        <w:rPr>
          <w:rFonts w:hint="eastAsia" w:ascii="楷体" w:hAnsi="楷体" w:eastAsia="楷体" w:cs="宋体"/>
          <w:sz w:val="24"/>
          <w:highlight w:val="none"/>
          <w:lang w:eastAsia="zh-CN"/>
        </w:rPr>
        <w:t>。</w:t>
      </w:r>
    </w:p>
    <w:p w14:paraId="7E9F6A91">
      <w:pPr>
        <w:spacing w:after="0" w:line="360" w:lineRule="auto"/>
        <w:ind w:firstLine="480" w:firstLineChars="200"/>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r>
        <w:rPr>
          <w:rFonts w:hint="eastAsia" w:ascii="楷体" w:hAnsi="楷体" w:eastAsia="楷体" w:cs="楷体"/>
          <w:sz w:val="24"/>
          <w:szCs w:val="24"/>
          <w:highlight w:val="none"/>
          <w:lang w:eastAsia="zh-CN"/>
        </w:rPr>
        <w:t>、施工图、招标文件、技术要求、施工规范及工程量清单中的项目特征互为补充，均作为编制投标报价的依据，工程量清单描述做法与设计图纸及相关规范不一致的，以标准要求高的为准，图纸做法中未明确或不完善事项以答疑、设计回复等为准，施工前，对于不一致的情况，承包人需通知甲方，并经甲方书面确认后再施工。不得以清单漏项、清单描述不全、清单描述前后矛盾、清单描述和设计图纸及规范不一致等为由要求增加、索赔相关费用等。</w:t>
      </w:r>
    </w:p>
    <w:p w14:paraId="25CB1E80">
      <w:pPr>
        <w:spacing w:after="0" w:line="360" w:lineRule="auto"/>
        <w:ind w:firstLine="480" w:firstLineChars="200"/>
        <w:rPr>
          <w:rFonts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8</w:t>
      </w:r>
      <w:r>
        <w:rPr>
          <w:rFonts w:hint="eastAsia" w:ascii="楷体" w:hAnsi="楷体" w:eastAsia="楷体" w:cs="楷体"/>
          <w:sz w:val="24"/>
          <w:szCs w:val="24"/>
          <w:highlight w:val="none"/>
          <w:lang w:eastAsia="zh-CN"/>
        </w:rPr>
        <w:t>、其他未尽事宜，参照设计图纸要求。</w:t>
      </w:r>
    </w:p>
    <w:p w14:paraId="43C7955D">
      <w:pPr>
        <w:spacing w:after="0" w:line="360" w:lineRule="auto"/>
        <w:rPr>
          <w:rFonts w:ascii="楷体" w:hAnsi="楷体" w:eastAsia="楷体" w:cs="楷体"/>
          <w:sz w:val="24"/>
          <w:szCs w:val="24"/>
          <w:highlight w:val="none"/>
          <w:lang w:eastAsia="zh-CN"/>
        </w:rPr>
      </w:pPr>
    </w:p>
    <w:p w14:paraId="2BA4A138">
      <w:pPr>
        <w:spacing w:line="360" w:lineRule="auto"/>
        <w:jc w:val="right"/>
        <w:rPr>
          <w:rFonts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202</w:t>
      </w:r>
      <w:r>
        <w:rPr>
          <w:rFonts w:hint="eastAsia" w:ascii="楷体" w:hAnsi="楷体" w:eastAsia="楷体" w:cs="楷体"/>
          <w:sz w:val="24"/>
          <w:szCs w:val="24"/>
          <w:highlight w:val="none"/>
          <w:lang w:val="en-US" w:eastAsia="zh-CN"/>
        </w:rPr>
        <w:t>5</w:t>
      </w:r>
      <w:r>
        <w:rPr>
          <w:rFonts w:hint="eastAsia" w:ascii="楷体" w:hAnsi="楷体" w:eastAsia="楷体" w:cs="楷体"/>
          <w:sz w:val="24"/>
          <w:szCs w:val="24"/>
          <w:highlight w:val="none"/>
          <w:lang w:eastAsia="zh-CN"/>
        </w:rPr>
        <w:t>年</w:t>
      </w: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月</w:t>
      </w:r>
    </w:p>
    <w:sectPr>
      <w:pgSz w:w="12240" w:h="15840"/>
      <w:pgMar w:top="1020" w:right="1134" w:bottom="850" w:left="1134" w:header="720" w:footer="7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IxODY5NDQxMDNkYTdlYjZkYjIxYzgwODVkNDg1NTAifQ=="/>
  </w:docVars>
  <w:rsids>
    <w:rsidRoot w:val="00A94AF2"/>
    <w:rsid w:val="00011C65"/>
    <w:rsid w:val="000134C4"/>
    <w:rsid w:val="000356CB"/>
    <w:rsid w:val="000523AF"/>
    <w:rsid w:val="00070EFC"/>
    <w:rsid w:val="00097D26"/>
    <w:rsid w:val="000E1AED"/>
    <w:rsid w:val="000E415F"/>
    <w:rsid w:val="000F4174"/>
    <w:rsid w:val="0010016C"/>
    <w:rsid w:val="00115DB8"/>
    <w:rsid w:val="0013312A"/>
    <w:rsid w:val="00156930"/>
    <w:rsid w:val="0016621D"/>
    <w:rsid w:val="001C29A6"/>
    <w:rsid w:val="001E6AA1"/>
    <w:rsid w:val="00200303"/>
    <w:rsid w:val="00227D87"/>
    <w:rsid w:val="002D24F4"/>
    <w:rsid w:val="002E3DB1"/>
    <w:rsid w:val="0034274C"/>
    <w:rsid w:val="00346D6D"/>
    <w:rsid w:val="00347910"/>
    <w:rsid w:val="00377246"/>
    <w:rsid w:val="00390414"/>
    <w:rsid w:val="003B62BB"/>
    <w:rsid w:val="003C3A39"/>
    <w:rsid w:val="003D249A"/>
    <w:rsid w:val="003E62CE"/>
    <w:rsid w:val="00451CFF"/>
    <w:rsid w:val="004568BF"/>
    <w:rsid w:val="00491B87"/>
    <w:rsid w:val="004C71A8"/>
    <w:rsid w:val="0052472F"/>
    <w:rsid w:val="00551217"/>
    <w:rsid w:val="0055708A"/>
    <w:rsid w:val="005634C9"/>
    <w:rsid w:val="00576890"/>
    <w:rsid w:val="005825E4"/>
    <w:rsid w:val="005A0AF2"/>
    <w:rsid w:val="00631949"/>
    <w:rsid w:val="00633AF3"/>
    <w:rsid w:val="00640A33"/>
    <w:rsid w:val="00642E0A"/>
    <w:rsid w:val="00674927"/>
    <w:rsid w:val="00687E23"/>
    <w:rsid w:val="0069556D"/>
    <w:rsid w:val="006E68A9"/>
    <w:rsid w:val="006F4235"/>
    <w:rsid w:val="006F78A5"/>
    <w:rsid w:val="00700D92"/>
    <w:rsid w:val="00706271"/>
    <w:rsid w:val="00707265"/>
    <w:rsid w:val="007453AA"/>
    <w:rsid w:val="00754938"/>
    <w:rsid w:val="007902EF"/>
    <w:rsid w:val="007B1102"/>
    <w:rsid w:val="007B516F"/>
    <w:rsid w:val="007B7FC7"/>
    <w:rsid w:val="007D6B20"/>
    <w:rsid w:val="007F49C9"/>
    <w:rsid w:val="00802D44"/>
    <w:rsid w:val="00805604"/>
    <w:rsid w:val="00816637"/>
    <w:rsid w:val="008215BC"/>
    <w:rsid w:val="00830B0E"/>
    <w:rsid w:val="00843423"/>
    <w:rsid w:val="0084593E"/>
    <w:rsid w:val="00853977"/>
    <w:rsid w:val="00882B36"/>
    <w:rsid w:val="00885AE0"/>
    <w:rsid w:val="008920F9"/>
    <w:rsid w:val="008F5F52"/>
    <w:rsid w:val="008F6047"/>
    <w:rsid w:val="00903DFB"/>
    <w:rsid w:val="00957F43"/>
    <w:rsid w:val="00972DA4"/>
    <w:rsid w:val="009A2B93"/>
    <w:rsid w:val="009C427C"/>
    <w:rsid w:val="009D6C79"/>
    <w:rsid w:val="009E4A96"/>
    <w:rsid w:val="00A02F19"/>
    <w:rsid w:val="00A0439E"/>
    <w:rsid w:val="00A93F80"/>
    <w:rsid w:val="00A94AF2"/>
    <w:rsid w:val="00AB75B2"/>
    <w:rsid w:val="00B37E65"/>
    <w:rsid w:val="00BC3C3B"/>
    <w:rsid w:val="00BD595B"/>
    <w:rsid w:val="00BF73B3"/>
    <w:rsid w:val="00C52F2D"/>
    <w:rsid w:val="00C77F5F"/>
    <w:rsid w:val="00CA2934"/>
    <w:rsid w:val="00CB3B4E"/>
    <w:rsid w:val="00CC733A"/>
    <w:rsid w:val="00D324BD"/>
    <w:rsid w:val="00D37EA9"/>
    <w:rsid w:val="00D521C0"/>
    <w:rsid w:val="00D62709"/>
    <w:rsid w:val="00D67CDD"/>
    <w:rsid w:val="00D9247B"/>
    <w:rsid w:val="00DF6F1E"/>
    <w:rsid w:val="00E16782"/>
    <w:rsid w:val="00E367E4"/>
    <w:rsid w:val="00E443EC"/>
    <w:rsid w:val="00E67FCD"/>
    <w:rsid w:val="00E80320"/>
    <w:rsid w:val="00E84B97"/>
    <w:rsid w:val="00EA1E02"/>
    <w:rsid w:val="00EF5EDC"/>
    <w:rsid w:val="00F0568D"/>
    <w:rsid w:val="00F05C43"/>
    <w:rsid w:val="00F46FD8"/>
    <w:rsid w:val="00F47620"/>
    <w:rsid w:val="00F66ED3"/>
    <w:rsid w:val="00F859D0"/>
    <w:rsid w:val="00F87D77"/>
    <w:rsid w:val="00F959D5"/>
    <w:rsid w:val="00FB4B78"/>
    <w:rsid w:val="00FF7F7C"/>
    <w:rsid w:val="01C54DEE"/>
    <w:rsid w:val="02A70F4C"/>
    <w:rsid w:val="035542A3"/>
    <w:rsid w:val="03965F9D"/>
    <w:rsid w:val="03E450A2"/>
    <w:rsid w:val="0474027D"/>
    <w:rsid w:val="04932CE9"/>
    <w:rsid w:val="049A3646"/>
    <w:rsid w:val="05096C17"/>
    <w:rsid w:val="05781CDF"/>
    <w:rsid w:val="05BE1FE7"/>
    <w:rsid w:val="061833AB"/>
    <w:rsid w:val="062023E9"/>
    <w:rsid w:val="06312F45"/>
    <w:rsid w:val="068F6FCB"/>
    <w:rsid w:val="077B0190"/>
    <w:rsid w:val="07A05F9B"/>
    <w:rsid w:val="07CE5794"/>
    <w:rsid w:val="07EA2123"/>
    <w:rsid w:val="0A3E2A5F"/>
    <w:rsid w:val="0A7714EB"/>
    <w:rsid w:val="0B61769D"/>
    <w:rsid w:val="0BFD2D4B"/>
    <w:rsid w:val="0C1C40A0"/>
    <w:rsid w:val="0C986DF0"/>
    <w:rsid w:val="0CBD5CBC"/>
    <w:rsid w:val="0CCB1DB2"/>
    <w:rsid w:val="0CD30126"/>
    <w:rsid w:val="0CF859D3"/>
    <w:rsid w:val="0CFB4820"/>
    <w:rsid w:val="0DF26CD2"/>
    <w:rsid w:val="0F05596B"/>
    <w:rsid w:val="0F817D4B"/>
    <w:rsid w:val="10BE733F"/>
    <w:rsid w:val="10C60470"/>
    <w:rsid w:val="10DC0EB5"/>
    <w:rsid w:val="11764F69"/>
    <w:rsid w:val="11962F05"/>
    <w:rsid w:val="120C0332"/>
    <w:rsid w:val="12543F7D"/>
    <w:rsid w:val="129A1380"/>
    <w:rsid w:val="12BD2245"/>
    <w:rsid w:val="12CA60C1"/>
    <w:rsid w:val="12DC44B7"/>
    <w:rsid w:val="12DD0D85"/>
    <w:rsid w:val="13654EEB"/>
    <w:rsid w:val="13BD29A2"/>
    <w:rsid w:val="142F46DE"/>
    <w:rsid w:val="14695F39"/>
    <w:rsid w:val="14DE3A37"/>
    <w:rsid w:val="14EA13C4"/>
    <w:rsid w:val="15793835"/>
    <w:rsid w:val="15D9438B"/>
    <w:rsid w:val="1600206D"/>
    <w:rsid w:val="16356DCC"/>
    <w:rsid w:val="163C6750"/>
    <w:rsid w:val="16484DA0"/>
    <w:rsid w:val="176B2DF5"/>
    <w:rsid w:val="17BA3C01"/>
    <w:rsid w:val="180328A1"/>
    <w:rsid w:val="18925339"/>
    <w:rsid w:val="18B65A3E"/>
    <w:rsid w:val="1A2B79F1"/>
    <w:rsid w:val="1A2E6111"/>
    <w:rsid w:val="1AAD1056"/>
    <w:rsid w:val="1AF50C1A"/>
    <w:rsid w:val="1B154507"/>
    <w:rsid w:val="1B356BFE"/>
    <w:rsid w:val="1B623B39"/>
    <w:rsid w:val="1BFF2380"/>
    <w:rsid w:val="1C593CCD"/>
    <w:rsid w:val="1C902538"/>
    <w:rsid w:val="1CA41229"/>
    <w:rsid w:val="1CC3161A"/>
    <w:rsid w:val="1CF2751B"/>
    <w:rsid w:val="1CF70EC4"/>
    <w:rsid w:val="1D1C0494"/>
    <w:rsid w:val="1D3D2C65"/>
    <w:rsid w:val="1E231DAF"/>
    <w:rsid w:val="1E2D20E0"/>
    <w:rsid w:val="1E871148"/>
    <w:rsid w:val="1F31724C"/>
    <w:rsid w:val="1F6706C5"/>
    <w:rsid w:val="1F8C725E"/>
    <w:rsid w:val="1F9574C1"/>
    <w:rsid w:val="1F9E0890"/>
    <w:rsid w:val="1FCD1B5E"/>
    <w:rsid w:val="200C50DA"/>
    <w:rsid w:val="209326CC"/>
    <w:rsid w:val="20B17014"/>
    <w:rsid w:val="21441798"/>
    <w:rsid w:val="215076E6"/>
    <w:rsid w:val="21AE2DDC"/>
    <w:rsid w:val="220F03EA"/>
    <w:rsid w:val="225A3C2E"/>
    <w:rsid w:val="22621842"/>
    <w:rsid w:val="226715E5"/>
    <w:rsid w:val="22C32593"/>
    <w:rsid w:val="22F33480"/>
    <w:rsid w:val="24013925"/>
    <w:rsid w:val="241B2451"/>
    <w:rsid w:val="24794C00"/>
    <w:rsid w:val="24E63ECF"/>
    <w:rsid w:val="25007499"/>
    <w:rsid w:val="25470C0F"/>
    <w:rsid w:val="270B1808"/>
    <w:rsid w:val="272E4788"/>
    <w:rsid w:val="273428D7"/>
    <w:rsid w:val="27455E2E"/>
    <w:rsid w:val="279247F0"/>
    <w:rsid w:val="28643CD3"/>
    <w:rsid w:val="28865FDD"/>
    <w:rsid w:val="28D66637"/>
    <w:rsid w:val="2926286D"/>
    <w:rsid w:val="29923FEE"/>
    <w:rsid w:val="29E452C9"/>
    <w:rsid w:val="2A4E0055"/>
    <w:rsid w:val="2A7D7435"/>
    <w:rsid w:val="2A98671E"/>
    <w:rsid w:val="2B01728A"/>
    <w:rsid w:val="2B270119"/>
    <w:rsid w:val="2B521F9C"/>
    <w:rsid w:val="2B527744"/>
    <w:rsid w:val="2B6D70C3"/>
    <w:rsid w:val="2B945D71"/>
    <w:rsid w:val="2C15574D"/>
    <w:rsid w:val="2C874C05"/>
    <w:rsid w:val="2CE2511F"/>
    <w:rsid w:val="2D031F0A"/>
    <w:rsid w:val="2D0701B3"/>
    <w:rsid w:val="2D7F6248"/>
    <w:rsid w:val="2E0B4B7D"/>
    <w:rsid w:val="2E6F131C"/>
    <w:rsid w:val="2E9F7A46"/>
    <w:rsid w:val="2EC54E85"/>
    <w:rsid w:val="2F1371C7"/>
    <w:rsid w:val="2F466672"/>
    <w:rsid w:val="2F645692"/>
    <w:rsid w:val="2F712E5D"/>
    <w:rsid w:val="2FCA31B3"/>
    <w:rsid w:val="302364F2"/>
    <w:rsid w:val="30A5571B"/>
    <w:rsid w:val="30E93410"/>
    <w:rsid w:val="314F59E6"/>
    <w:rsid w:val="31653D42"/>
    <w:rsid w:val="319A28FB"/>
    <w:rsid w:val="31A21688"/>
    <w:rsid w:val="31E7004C"/>
    <w:rsid w:val="325356E2"/>
    <w:rsid w:val="33200C46"/>
    <w:rsid w:val="341C6876"/>
    <w:rsid w:val="34604DEE"/>
    <w:rsid w:val="35C524AB"/>
    <w:rsid w:val="35EA1366"/>
    <w:rsid w:val="36176086"/>
    <w:rsid w:val="368807E5"/>
    <w:rsid w:val="36AB44F2"/>
    <w:rsid w:val="370A3629"/>
    <w:rsid w:val="378D6F76"/>
    <w:rsid w:val="380D24DA"/>
    <w:rsid w:val="384529E0"/>
    <w:rsid w:val="385F36A4"/>
    <w:rsid w:val="386972E9"/>
    <w:rsid w:val="38C42E95"/>
    <w:rsid w:val="391F2F7B"/>
    <w:rsid w:val="39557F91"/>
    <w:rsid w:val="3AB80E82"/>
    <w:rsid w:val="3AC43929"/>
    <w:rsid w:val="3B081385"/>
    <w:rsid w:val="3B442595"/>
    <w:rsid w:val="3B692756"/>
    <w:rsid w:val="3B806E1C"/>
    <w:rsid w:val="3C904DE4"/>
    <w:rsid w:val="3CC64655"/>
    <w:rsid w:val="3CC76AFB"/>
    <w:rsid w:val="3D003080"/>
    <w:rsid w:val="3D0F0457"/>
    <w:rsid w:val="3D57736B"/>
    <w:rsid w:val="3D6379CB"/>
    <w:rsid w:val="3DD1381D"/>
    <w:rsid w:val="3E0A3D9B"/>
    <w:rsid w:val="3E1D6BA4"/>
    <w:rsid w:val="3E314AD1"/>
    <w:rsid w:val="3E8255EF"/>
    <w:rsid w:val="3F2F7F8B"/>
    <w:rsid w:val="3FD7589F"/>
    <w:rsid w:val="401B0EA1"/>
    <w:rsid w:val="40656416"/>
    <w:rsid w:val="40717440"/>
    <w:rsid w:val="409322D7"/>
    <w:rsid w:val="40A72A25"/>
    <w:rsid w:val="40D92B8C"/>
    <w:rsid w:val="419520BE"/>
    <w:rsid w:val="429D225C"/>
    <w:rsid w:val="42B967FE"/>
    <w:rsid w:val="42E64F7F"/>
    <w:rsid w:val="431427D7"/>
    <w:rsid w:val="437C770E"/>
    <w:rsid w:val="43921411"/>
    <w:rsid w:val="439C3B2E"/>
    <w:rsid w:val="440B3ED8"/>
    <w:rsid w:val="44A14F0C"/>
    <w:rsid w:val="455C38E6"/>
    <w:rsid w:val="456F4189"/>
    <w:rsid w:val="45AE1052"/>
    <w:rsid w:val="45C004C3"/>
    <w:rsid w:val="469C4526"/>
    <w:rsid w:val="46D84EE0"/>
    <w:rsid w:val="470D6339"/>
    <w:rsid w:val="47180BD4"/>
    <w:rsid w:val="475F3D89"/>
    <w:rsid w:val="47BA6093"/>
    <w:rsid w:val="47CE6BD4"/>
    <w:rsid w:val="47FE11B1"/>
    <w:rsid w:val="480605CE"/>
    <w:rsid w:val="48875A9E"/>
    <w:rsid w:val="488D3743"/>
    <w:rsid w:val="48B13CBF"/>
    <w:rsid w:val="48BF0B5B"/>
    <w:rsid w:val="48F0330D"/>
    <w:rsid w:val="48F12AE1"/>
    <w:rsid w:val="48F64DF8"/>
    <w:rsid w:val="49335D32"/>
    <w:rsid w:val="4A506C1B"/>
    <w:rsid w:val="4A606796"/>
    <w:rsid w:val="4B587D57"/>
    <w:rsid w:val="4BA64872"/>
    <w:rsid w:val="4BDD112C"/>
    <w:rsid w:val="4C121D12"/>
    <w:rsid w:val="4D1F110D"/>
    <w:rsid w:val="4D214DDE"/>
    <w:rsid w:val="4E4F7040"/>
    <w:rsid w:val="4E7E4BB8"/>
    <w:rsid w:val="4EAC01FC"/>
    <w:rsid w:val="4F442940"/>
    <w:rsid w:val="4F8F7446"/>
    <w:rsid w:val="4FB06F95"/>
    <w:rsid w:val="4FBE0F8F"/>
    <w:rsid w:val="4FCD2D90"/>
    <w:rsid w:val="50146707"/>
    <w:rsid w:val="504B00B2"/>
    <w:rsid w:val="505225EC"/>
    <w:rsid w:val="50DA063F"/>
    <w:rsid w:val="51441E7E"/>
    <w:rsid w:val="5153383F"/>
    <w:rsid w:val="51A04F8E"/>
    <w:rsid w:val="51B97F06"/>
    <w:rsid w:val="520A5516"/>
    <w:rsid w:val="522E2FD1"/>
    <w:rsid w:val="525D22A8"/>
    <w:rsid w:val="5289345C"/>
    <w:rsid w:val="52B40AAB"/>
    <w:rsid w:val="536410A5"/>
    <w:rsid w:val="53873C8D"/>
    <w:rsid w:val="53A6432C"/>
    <w:rsid w:val="54233E4B"/>
    <w:rsid w:val="545E0565"/>
    <w:rsid w:val="547D0C52"/>
    <w:rsid w:val="55407F8F"/>
    <w:rsid w:val="558D70F3"/>
    <w:rsid w:val="56072EB7"/>
    <w:rsid w:val="565666AB"/>
    <w:rsid w:val="5669043E"/>
    <w:rsid w:val="56E8168F"/>
    <w:rsid w:val="56FE7767"/>
    <w:rsid w:val="57B572B3"/>
    <w:rsid w:val="57C620F2"/>
    <w:rsid w:val="57CF456F"/>
    <w:rsid w:val="57E236D7"/>
    <w:rsid w:val="57E5652D"/>
    <w:rsid w:val="58620810"/>
    <w:rsid w:val="58766E58"/>
    <w:rsid w:val="589F34AA"/>
    <w:rsid w:val="59503DFF"/>
    <w:rsid w:val="59D611A6"/>
    <w:rsid w:val="5AB26B9A"/>
    <w:rsid w:val="5AF14628"/>
    <w:rsid w:val="5AFD7F95"/>
    <w:rsid w:val="5B11006B"/>
    <w:rsid w:val="5B227036"/>
    <w:rsid w:val="5B3D2720"/>
    <w:rsid w:val="5B4C710F"/>
    <w:rsid w:val="5B59241C"/>
    <w:rsid w:val="5CB366CA"/>
    <w:rsid w:val="5CB57AE0"/>
    <w:rsid w:val="5D1D025D"/>
    <w:rsid w:val="5D84113E"/>
    <w:rsid w:val="5E5C2B5E"/>
    <w:rsid w:val="5EA93E10"/>
    <w:rsid w:val="5F2A6A11"/>
    <w:rsid w:val="5F2E7C09"/>
    <w:rsid w:val="5F334EA3"/>
    <w:rsid w:val="5FC247DD"/>
    <w:rsid w:val="602F7B41"/>
    <w:rsid w:val="611910AB"/>
    <w:rsid w:val="61AA23B1"/>
    <w:rsid w:val="61AC2B03"/>
    <w:rsid w:val="62822142"/>
    <w:rsid w:val="62FF0E1B"/>
    <w:rsid w:val="630A4368"/>
    <w:rsid w:val="63444D15"/>
    <w:rsid w:val="634B193A"/>
    <w:rsid w:val="63837460"/>
    <w:rsid w:val="638D42B6"/>
    <w:rsid w:val="64227230"/>
    <w:rsid w:val="64BA38E5"/>
    <w:rsid w:val="650F2725"/>
    <w:rsid w:val="653E09FA"/>
    <w:rsid w:val="65D721E6"/>
    <w:rsid w:val="662C6FAA"/>
    <w:rsid w:val="668E608F"/>
    <w:rsid w:val="66AA5A51"/>
    <w:rsid w:val="66AF50EC"/>
    <w:rsid w:val="67330816"/>
    <w:rsid w:val="67897724"/>
    <w:rsid w:val="67A05FCC"/>
    <w:rsid w:val="67A55390"/>
    <w:rsid w:val="681E3429"/>
    <w:rsid w:val="687444AF"/>
    <w:rsid w:val="68821E50"/>
    <w:rsid w:val="68822805"/>
    <w:rsid w:val="690D1337"/>
    <w:rsid w:val="693075A9"/>
    <w:rsid w:val="6962196E"/>
    <w:rsid w:val="699F49F5"/>
    <w:rsid w:val="69B304F5"/>
    <w:rsid w:val="6A612FC7"/>
    <w:rsid w:val="6AF64A41"/>
    <w:rsid w:val="6BCC71D7"/>
    <w:rsid w:val="6CC60283"/>
    <w:rsid w:val="6D1F5F0B"/>
    <w:rsid w:val="6D3261A6"/>
    <w:rsid w:val="6D3E606B"/>
    <w:rsid w:val="6D4C70C7"/>
    <w:rsid w:val="6D4D78B6"/>
    <w:rsid w:val="6D8D34BB"/>
    <w:rsid w:val="6DD26258"/>
    <w:rsid w:val="6E425ABF"/>
    <w:rsid w:val="6E6C3558"/>
    <w:rsid w:val="6E75038C"/>
    <w:rsid w:val="6F1F1EEA"/>
    <w:rsid w:val="6F4B2CC1"/>
    <w:rsid w:val="6F7A557A"/>
    <w:rsid w:val="70C943A3"/>
    <w:rsid w:val="716F4108"/>
    <w:rsid w:val="71C70F8F"/>
    <w:rsid w:val="71D41E67"/>
    <w:rsid w:val="71DA29BC"/>
    <w:rsid w:val="71E32F05"/>
    <w:rsid w:val="720F36E4"/>
    <w:rsid w:val="7242215A"/>
    <w:rsid w:val="72DA4A88"/>
    <w:rsid w:val="73335F46"/>
    <w:rsid w:val="73FE4F9F"/>
    <w:rsid w:val="74B5552C"/>
    <w:rsid w:val="74B55643"/>
    <w:rsid w:val="74FE2CFB"/>
    <w:rsid w:val="755D091D"/>
    <w:rsid w:val="75C650C8"/>
    <w:rsid w:val="75CD7253"/>
    <w:rsid w:val="75E93875"/>
    <w:rsid w:val="75F84586"/>
    <w:rsid w:val="75F93477"/>
    <w:rsid w:val="761279C2"/>
    <w:rsid w:val="76791691"/>
    <w:rsid w:val="76985B04"/>
    <w:rsid w:val="769F5552"/>
    <w:rsid w:val="770F7D5F"/>
    <w:rsid w:val="77C60C6B"/>
    <w:rsid w:val="780C14E9"/>
    <w:rsid w:val="785771FF"/>
    <w:rsid w:val="785B21C7"/>
    <w:rsid w:val="78632E2A"/>
    <w:rsid w:val="7884150F"/>
    <w:rsid w:val="78DD3B5C"/>
    <w:rsid w:val="790D4644"/>
    <w:rsid w:val="799C4EF5"/>
    <w:rsid w:val="79CE55A1"/>
    <w:rsid w:val="79DE4E5E"/>
    <w:rsid w:val="7A111E17"/>
    <w:rsid w:val="7A26494D"/>
    <w:rsid w:val="7A513882"/>
    <w:rsid w:val="7A992B33"/>
    <w:rsid w:val="7AA73616"/>
    <w:rsid w:val="7AAD65DE"/>
    <w:rsid w:val="7ADB7565"/>
    <w:rsid w:val="7C3B2889"/>
    <w:rsid w:val="7CB325D7"/>
    <w:rsid w:val="7E5558E8"/>
    <w:rsid w:val="7F514041"/>
    <w:rsid w:val="7F710522"/>
    <w:rsid w:val="7FAC4F92"/>
    <w:rsid w:val="7FED73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8"/>
    <w:autoRedefine/>
    <w:semiHidden/>
    <w:unhideWhenUsed/>
    <w:qFormat/>
    <w:uiPriority w:val="99"/>
  </w:style>
  <w:style w:type="paragraph" w:styleId="4">
    <w:name w:val="Balloon Text"/>
    <w:basedOn w:val="1"/>
    <w:link w:val="16"/>
    <w:autoRedefine/>
    <w:semiHidden/>
    <w:unhideWhenUsed/>
    <w:qFormat/>
    <w:uiPriority w:val="99"/>
    <w:pPr>
      <w:spacing w:after="0" w:line="240" w:lineRule="auto"/>
    </w:pPr>
    <w:rPr>
      <w:sz w:val="18"/>
      <w:szCs w:val="18"/>
    </w:rPr>
  </w:style>
  <w:style w:type="paragraph" w:styleId="5">
    <w:name w:val="footer"/>
    <w:basedOn w:val="1"/>
    <w:link w:val="14"/>
    <w:autoRedefine/>
    <w:unhideWhenUsed/>
    <w:qFormat/>
    <w:uiPriority w:val="99"/>
    <w:pPr>
      <w:tabs>
        <w:tab w:val="center" w:pos="4153"/>
        <w:tab w:val="right" w:pos="8306"/>
      </w:tabs>
      <w:snapToGrid w:val="0"/>
      <w:spacing w:line="240" w:lineRule="auto"/>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autoRedefine/>
    <w:qFormat/>
    <w:uiPriority w:val="0"/>
    <w:pPr>
      <w:spacing w:before="100" w:beforeAutospacing="1" w:after="100" w:afterAutospacing="1"/>
    </w:pPr>
    <w:rPr>
      <w:rFonts w:cs="Times New Roman"/>
      <w:sz w:val="24"/>
      <w:lang w:eastAsia="zh-CN" w:bidi="ar-SA"/>
    </w:r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Emphasis"/>
    <w:basedOn w:val="10"/>
    <w:autoRedefine/>
    <w:qFormat/>
    <w:uiPriority w:val="20"/>
    <w:rPr>
      <w:i/>
    </w:rPr>
  </w:style>
  <w:style w:type="paragraph" w:customStyle="1" w:styleId="12">
    <w:name w:val="列出段落1"/>
    <w:basedOn w:val="1"/>
    <w:autoRedefine/>
    <w:qFormat/>
    <w:uiPriority w:val="99"/>
    <w:pPr>
      <w:ind w:firstLine="420" w:firstLineChars="200"/>
    </w:pPr>
  </w:style>
  <w:style w:type="character" w:customStyle="1" w:styleId="13">
    <w:name w:val="页眉 Char"/>
    <w:basedOn w:val="10"/>
    <w:link w:val="6"/>
    <w:autoRedefine/>
    <w:qFormat/>
    <w:uiPriority w:val="99"/>
    <w:rPr>
      <w:rFonts w:asciiTheme="minorHAnsi" w:hAnsiTheme="minorHAnsi" w:eastAsiaTheme="minorHAnsi" w:cstheme="minorBidi"/>
      <w:sz w:val="18"/>
      <w:szCs w:val="18"/>
      <w:lang w:eastAsia="en-US" w:bidi="en-US"/>
    </w:rPr>
  </w:style>
  <w:style w:type="character" w:customStyle="1" w:styleId="14">
    <w:name w:val="页脚 Char"/>
    <w:basedOn w:val="10"/>
    <w:link w:val="5"/>
    <w:autoRedefine/>
    <w:qFormat/>
    <w:uiPriority w:val="99"/>
    <w:rPr>
      <w:rFonts w:asciiTheme="minorHAnsi" w:hAnsiTheme="minorHAnsi" w:eastAsiaTheme="minorHAnsi" w:cstheme="minorBidi"/>
      <w:sz w:val="18"/>
      <w:szCs w:val="18"/>
      <w:lang w:eastAsia="en-US" w:bidi="en-US"/>
    </w:rPr>
  </w:style>
  <w:style w:type="paragraph" w:styleId="15">
    <w:name w:val="List Paragraph"/>
    <w:basedOn w:val="1"/>
    <w:autoRedefine/>
    <w:qFormat/>
    <w:uiPriority w:val="34"/>
    <w:pPr>
      <w:ind w:firstLine="420" w:firstLineChars="200"/>
    </w:pPr>
  </w:style>
  <w:style w:type="character" w:customStyle="1" w:styleId="16">
    <w:name w:val="批注框文本 Char"/>
    <w:basedOn w:val="10"/>
    <w:link w:val="4"/>
    <w:autoRedefine/>
    <w:semiHidden/>
    <w:qFormat/>
    <w:uiPriority w:val="99"/>
    <w:rPr>
      <w:rFonts w:asciiTheme="minorHAnsi" w:hAnsiTheme="minorHAnsi" w:eastAsiaTheme="minorHAnsi" w:cstheme="minorBidi"/>
      <w:sz w:val="18"/>
      <w:szCs w:val="18"/>
      <w:lang w:eastAsia="en-US" w:bidi="en-US"/>
    </w:rPr>
  </w:style>
  <w:style w:type="character" w:customStyle="1" w:styleId="17">
    <w:name w:val="正文文本 Char1"/>
    <w:basedOn w:val="10"/>
    <w:autoRedefine/>
    <w:qFormat/>
    <w:uiPriority w:val="0"/>
    <w:rPr>
      <w:kern w:val="2"/>
      <w:sz w:val="32"/>
      <w:szCs w:val="32"/>
    </w:rPr>
  </w:style>
  <w:style w:type="character" w:customStyle="1" w:styleId="18">
    <w:name w:val="正文文本 Char"/>
    <w:basedOn w:val="10"/>
    <w:link w:val="3"/>
    <w:autoRedefine/>
    <w:qFormat/>
    <w:uiPriority w:val="0"/>
    <w:rPr>
      <w:rFonts w:hint="eastAsia" w:ascii="宋体" w:hAnsi="宋体" w:eastAsia="宋体" w:cs="宋体"/>
      <w:sz w:val="23"/>
      <w:szCs w:val="23"/>
      <w:shd w:val="clear" w:color="auto" w:fill="FFFFFF"/>
    </w:rPr>
  </w:style>
  <w:style w:type="character" w:customStyle="1" w:styleId="19">
    <w:name w:val="正文文本 + Batang"/>
    <w:autoRedefine/>
    <w:qFormat/>
    <w:uiPriority w:val="0"/>
    <w:rPr>
      <w:rFonts w:ascii="Batang" w:eastAsia="Batang" w:cs="Batang"/>
      <w:sz w:val="21"/>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4</Pages>
  <Words>3378</Words>
  <Characters>3521</Characters>
  <Lines>25</Lines>
  <Paragraphs>7</Paragraphs>
  <TotalTime>0</TotalTime>
  <ScaleCrop>false</ScaleCrop>
  <LinksUpToDate>false</LinksUpToDate>
  <CharactersWithSpaces>3523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2019-05-20T03:12:00Z</dcterms:created>
  <dc:creator>officegen</dc:creator>
  <cp:lastModifiedBy>Emily.尛殤</cp:lastModifiedBy>
  <dcterms:modified xsi:type="dcterms:W3CDTF">2025-09-12T01:15:17Z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E6046967ECD34BC89545750C4A6EDE22</vt:lpwstr>
  </property>
  <property fmtid="{D5CDD505-2E9C-101B-9397-08002B2CF9AE}" pid="4" name="commondata">
    <vt:lpwstr>eyJoZGlkIjoiZmU4M2FlZTVkMWNhMDNlYjc2YWIzMGQ0NDMwZjgwY2MifQ==</vt:lpwstr>
  </property>
  <property fmtid="{D5CDD505-2E9C-101B-9397-08002B2CF9AE}" pid="5" name="KSOTemplateDocerSaveRecord">
    <vt:lpwstr>eyJoZGlkIjoiNDIxODY5NDQxMDNkYTdlYjZkYjIxYzgwODVkNDg1NTAiLCJ1c2VySWQiOiI2MDQwOTA3OTEifQ==</vt:lpwstr>
  </property>
</Properties>
</file>